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5F0" w:rsidRPr="007B45F0" w:rsidRDefault="007B45F0" w:rsidP="007B45F0">
      <w:pPr>
        <w:spacing w:line="276" w:lineRule="auto"/>
        <w:jc w:val="both"/>
        <w:rPr>
          <w:rFonts w:asciiTheme="minorHAnsi" w:hAnsiTheme="minorHAnsi" w:cstheme="minorHAnsi"/>
          <w:b/>
          <w:sz w:val="22"/>
          <w:szCs w:val="22"/>
        </w:rPr>
      </w:pPr>
      <w:r w:rsidRPr="007B45F0">
        <w:rPr>
          <w:rFonts w:asciiTheme="minorHAnsi" w:hAnsiTheme="minorHAnsi" w:cstheme="minorHAnsi"/>
          <w:b/>
          <w:sz w:val="22"/>
          <w:szCs w:val="22"/>
        </w:rPr>
        <w:t>Türentrend 2021- Neuigkeiten aus Ichtershausen</w:t>
      </w:r>
    </w:p>
    <w:p w:rsidR="007B45F0" w:rsidRPr="007B45F0" w:rsidRDefault="007B45F0" w:rsidP="007B45F0">
      <w:pPr>
        <w:spacing w:line="276" w:lineRule="auto"/>
        <w:jc w:val="both"/>
        <w:rPr>
          <w:rFonts w:asciiTheme="minorHAnsi" w:hAnsiTheme="minorHAnsi" w:cstheme="minorHAnsi"/>
          <w:sz w:val="22"/>
          <w:szCs w:val="22"/>
        </w:rPr>
      </w:pP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 xml:space="preserve">Mit der Absage der "BAU 2021" als Präsenzmesse , ist in diesem Jahr die wichtigste Plattform zur Präsentation neuer Produkte und Serviceleistungen in unserer Branche entfallen. Selbst die digitale Variante konnte diesen Verlust nicht kompensieren. Solch ein Ereignis lebt von der Präsenz der Aussteller und der Frequenz seiner Besucher. Der emotionale Faktor spielt dabei eine nicht zu unterschätzende Rolle.    </w:t>
      </w:r>
    </w:p>
    <w:p w:rsidR="007B45F0" w:rsidRPr="007B45F0" w:rsidRDefault="007B45F0" w:rsidP="007B45F0">
      <w:pPr>
        <w:spacing w:line="276" w:lineRule="auto"/>
        <w:jc w:val="both"/>
        <w:rPr>
          <w:rFonts w:asciiTheme="minorHAnsi" w:hAnsiTheme="minorHAnsi" w:cstheme="minorHAnsi"/>
          <w:sz w:val="22"/>
          <w:szCs w:val="22"/>
        </w:rPr>
      </w:pP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Die seit über einem Jahr anhaltende</w:t>
      </w:r>
      <w:r w:rsidR="00024908">
        <w:rPr>
          <w:rFonts w:asciiTheme="minorHAnsi" w:hAnsiTheme="minorHAnsi" w:cstheme="minorHAnsi"/>
          <w:sz w:val="22"/>
          <w:szCs w:val="22"/>
        </w:rPr>
        <w:t xml:space="preserve">, Corona-bedingte </w:t>
      </w:r>
      <w:r w:rsidRPr="007B45F0">
        <w:rPr>
          <w:rFonts w:asciiTheme="minorHAnsi" w:hAnsiTheme="minorHAnsi" w:cstheme="minorHAnsi"/>
          <w:sz w:val="22"/>
          <w:szCs w:val="22"/>
        </w:rPr>
        <w:t xml:space="preserve">Situation </w:t>
      </w:r>
      <w:r w:rsidR="006E7694">
        <w:rPr>
          <w:rFonts w:asciiTheme="minorHAnsi" w:hAnsiTheme="minorHAnsi" w:cstheme="minorHAnsi"/>
          <w:sz w:val="22"/>
          <w:szCs w:val="22"/>
        </w:rPr>
        <w:t>ver</w:t>
      </w:r>
      <w:r w:rsidRPr="007B45F0">
        <w:rPr>
          <w:rFonts w:asciiTheme="minorHAnsi" w:hAnsiTheme="minorHAnsi" w:cstheme="minorHAnsi"/>
          <w:sz w:val="22"/>
          <w:szCs w:val="22"/>
        </w:rPr>
        <w:t>langt eine gut strukturierte und konsequente Organisation</w:t>
      </w:r>
      <w:r w:rsidR="006E7694">
        <w:rPr>
          <w:rFonts w:asciiTheme="minorHAnsi" w:hAnsiTheme="minorHAnsi" w:cstheme="minorHAnsi"/>
          <w:sz w:val="22"/>
          <w:szCs w:val="22"/>
        </w:rPr>
        <w:t xml:space="preserve"> aller Abläufe</w:t>
      </w:r>
      <w:r w:rsidRPr="007B45F0">
        <w:rPr>
          <w:rFonts w:asciiTheme="minorHAnsi" w:hAnsiTheme="minorHAnsi" w:cstheme="minorHAnsi"/>
          <w:sz w:val="22"/>
          <w:szCs w:val="22"/>
        </w:rPr>
        <w:t xml:space="preserve">. Das Geschäft geht weiter, denn Stillstand ist keine Option.  </w:t>
      </w:r>
    </w:p>
    <w:p w:rsidR="007B45F0" w:rsidRPr="007B45F0" w:rsidRDefault="007B45F0" w:rsidP="007B45F0">
      <w:pPr>
        <w:spacing w:line="276" w:lineRule="auto"/>
        <w:jc w:val="both"/>
        <w:rPr>
          <w:rFonts w:asciiTheme="minorHAnsi" w:hAnsiTheme="minorHAnsi" w:cstheme="minorHAnsi"/>
          <w:sz w:val="22"/>
          <w:szCs w:val="22"/>
        </w:rPr>
      </w:pPr>
    </w:p>
    <w:p w:rsidR="007B45F0" w:rsidRPr="007B45F0" w:rsidRDefault="006E7694" w:rsidP="007B45F0">
      <w:pPr>
        <w:spacing w:line="276" w:lineRule="auto"/>
        <w:jc w:val="both"/>
        <w:rPr>
          <w:rFonts w:asciiTheme="minorHAnsi" w:hAnsiTheme="minorHAnsi" w:cstheme="minorHAnsi"/>
          <w:sz w:val="22"/>
          <w:szCs w:val="22"/>
        </w:rPr>
      </w:pPr>
      <w:r>
        <w:rPr>
          <w:rFonts w:asciiTheme="minorHAnsi" w:hAnsiTheme="minorHAnsi" w:cstheme="minorHAnsi"/>
          <w:sz w:val="22"/>
          <w:szCs w:val="22"/>
        </w:rPr>
        <w:t>Weiß im Fokus:</w:t>
      </w:r>
      <w:r w:rsidR="00F5118F">
        <w:rPr>
          <w:rFonts w:asciiTheme="minorHAnsi" w:hAnsiTheme="minorHAnsi" w:cstheme="minorHAnsi"/>
          <w:sz w:val="22"/>
          <w:szCs w:val="22"/>
        </w:rPr>
        <w:t xml:space="preserve"> </w:t>
      </w:r>
      <w:r w:rsidR="007B45F0" w:rsidRPr="007B45F0">
        <w:rPr>
          <w:rFonts w:asciiTheme="minorHAnsi" w:hAnsiTheme="minorHAnsi" w:cstheme="minorHAnsi"/>
          <w:sz w:val="22"/>
          <w:szCs w:val="22"/>
        </w:rPr>
        <w:t xml:space="preserve">Die Bautätigkeit wird sich weiterhin auf einem stabilen Level bewegen. Dementsprechend profitiert auch die Türenbranche in hohem Maße davon. Der Bedarf ist groß und ist von punktuellen Veränderungen geprägt. Dabei überrascht weniger, dass die Oberfläche Weiß, in den unterschiedlichsten Nuancen, </w:t>
      </w:r>
      <w:r w:rsidR="00F5118F">
        <w:rPr>
          <w:rFonts w:asciiTheme="minorHAnsi" w:hAnsiTheme="minorHAnsi" w:cstheme="minorHAnsi"/>
          <w:sz w:val="22"/>
          <w:szCs w:val="22"/>
        </w:rPr>
        <w:t>weiterhin</w:t>
      </w:r>
      <w:r w:rsidR="007B45F0" w:rsidRPr="007B45F0">
        <w:rPr>
          <w:rFonts w:asciiTheme="minorHAnsi" w:hAnsiTheme="minorHAnsi" w:cstheme="minorHAnsi"/>
          <w:sz w:val="22"/>
          <w:szCs w:val="22"/>
        </w:rPr>
        <w:t xml:space="preserve"> die Spitzenposition bei den Oberflächen einnimmt. Die GARANT Türen und Zargen GmbH hat ihr Produktionsprogramm den Bedürfnissen in hohem Maße ausgerichtet und kann d</w:t>
      </w:r>
      <w:r w:rsidR="00CC4A82">
        <w:rPr>
          <w:rFonts w:asciiTheme="minorHAnsi" w:hAnsiTheme="minorHAnsi" w:cstheme="minorHAnsi"/>
          <w:sz w:val="22"/>
          <w:szCs w:val="22"/>
        </w:rPr>
        <w:t>en</w:t>
      </w:r>
      <w:r w:rsidR="007B45F0" w:rsidRPr="007B45F0">
        <w:rPr>
          <w:rFonts w:asciiTheme="minorHAnsi" w:hAnsiTheme="minorHAnsi" w:cstheme="minorHAnsi"/>
          <w:sz w:val="22"/>
          <w:szCs w:val="22"/>
        </w:rPr>
        <w:t xml:space="preserve"> Anforderungen ihrer Kunden bestens gerecht werden. </w:t>
      </w:r>
    </w:p>
    <w:p w:rsidR="007B45F0" w:rsidRPr="007B45F0" w:rsidRDefault="007B45F0" w:rsidP="007B45F0">
      <w:pPr>
        <w:spacing w:line="276" w:lineRule="auto"/>
        <w:jc w:val="both"/>
        <w:rPr>
          <w:rFonts w:asciiTheme="minorHAnsi" w:hAnsiTheme="minorHAnsi" w:cstheme="minorHAnsi"/>
          <w:sz w:val="22"/>
          <w:szCs w:val="22"/>
        </w:rPr>
      </w:pP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Die Farbe Weiß ist unangefochten die Nummer eins im Farbranking. Die RAL-Farbtöne 9010 und 9016 sind dabei die beliebtesten</w:t>
      </w:r>
      <w:r w:rsidRPr="007B45F0">
        <w:rPr>
          <w:rFonts w:asciiTheme="minorHAnsi" w:hAnsiTheme="minorHAnsi" w:cstheme="minorHAnsi"/>
          <w:color w:val="000000" w:themeColor="text1"/>
          <w:sz w:val="22"/>
          <w:szCs w:val="22"/>
        </w:rPr>
        <w:t xml:space="preserve">, wenn es um die Meinung der Käufer geht. </w:t>
      </w:r>
      <w:r w:rsidRPr="007B45F0">
        <w:rPr>
          <w:rFonts w:asciiTheme="minorHAnsi" w:hAnsiTheme="minorHAnsi" w:cstheme="minorHAnsi"/>
          <w:sz w:val="22"/>
          <w:szCs w:val="22"/>
        </w:rPr>
        <w:t xml:space="preserve">Unterschiedlich stellt sich allerdings die Oberflächenbeschaffenheit dar: Lack, </w:t>
      </w:r>
      <w:proofErr w:type="spellStart"/>
      <w:r w:rsidRPr="007B45F0">
        <w:rPr>
          <w:rFonts w:asciiTheme="minorHAnsi" w:hAnsiTheme="minorHAnsi" w:cstheme="minorHAnsi"/>
          <w:sz w:val="22"/>
          <w:szCs w:val="22"/>
        </w:rPr>
        <w:t>CePaL</w:t>
      </w:r>
      <w:proofErr w:type="spellEnd"/>
      <w:r w:rsidRPr="007B45F0">
        <w:rPr>
          <w:rFonts w:asciiTheme="minorHAnsi" w:hAnsiTheme="minorHAnsi" w:cstheme="minorHAnsi"/>
          <w:sz w:val="22"/>
          <w:szCs w:val="22"/>
        </w:rPr>
        <w:t>, HPL, G-T</w:t>
      </w:r>
      <w:r w:rsidR="00F5118F">
        <w:rPr>
          <w:rFonts w:asciiTheme="minorHAnsi" w:hAnsiTheme="minorHAnsi" w:cstheme="minorHAnsi"/>
          <w:sz w:val="22"/>
          <w:szCs w:val="22"/>
        </w:rPr>
        <w:t>EC</w:t>
      </w:r>
      <w:r w:rsidRPr="007B45F0">
        <w:rPr>
          <w:rFonts w:asciiTheme="minorHAnsi" w:hAnsiTheme="minorHAnsi" w:cstheme="minorHAnsi"/>
          <w:sz w:val="22"/>
          <w:szCs w:val="22"/>
        </w:rPr>
        <w:t xml:space="preserve"> und Dekorfolie bieten ein breites Spektrum für vielfältige Einsatzgebiete. </w:t>
      </w:r>
      <w:r w:rsidR="00CC4A82">
        <w:rPr>
          <w:rFonts w:asciiTheme="minorHAnsi" w:hAnsiTheme="minorHAnsi" w:cstheme="minorHAnsi"/>
          <w:sz w:val="22"/>
          <w:szCs w:val="22"/>
        </w:rPr>
        <w:t xml:space="preserve">Als neue Option  kann </w:t>
      </w:r>
      <w:r w:rsidRPr="007B45F0">
        <w:rPr>
          <w:rFonts w:asciiTheme="minorHAnsi" w:hAnsiTheme="minorHAnsi" w:cstheme="minorHAnsi"/>
          <w:sz w:val="22"/>
          <w:szCs w:val="22"/>
        </w:rPr>
        <w:t xml:space="preserve">der Türenhersteller aus Ichtershausen </w:t>
      </w:r>
      <w:r w:rsidR="00CC4A82">
        <w:rPr>
          <w:rFonts w:asciiTheme="minorHAnsi" w:hAnsiTheme="minorHAnsi" w:cstheme="minorHAnsi"/>
          <w:sz w:val="22"/>
          <w:szCs w:val="22"/>
        </w:rPr>
        <w:t xml:space="preserve">seit </w:t>
      </w:r>
      <w:r w:rsidRPr="007B45F0">
        <w:rPr>
          <w:rFonts w:asciiTheme="minorHAnsi" w:hAnsiTheme="minorHAnsi" w:cstheme="minorHAnsi"/>
          <w:sz w:val="22"/>
          <w:szCs w:val="22"/>
        </w:rPr>
        <w:t>Anfang des Jahres einen großen Teil der Oberflächenvielfalt mit der neuen "Premiumkante" fertigen.</w:t>
      </w:r>
    </w:p>
    <w:p w:rsidR="007B45F0" w:rsidRPr="007B45F0" w:rsidRDefault="007B45F0" w:rsidP="007B45F0">
      <w:pPr>
        <w:spacing w:line="276" w:lineRule="auto"/>
        <w:jc w:val="both"/>
        <w:rPr>
          <w:rFonts w:asciiTheme="minorHAnsi" w:hAnsiTheme="minorHAnsi" w:cstheme="minorHAnsi"/>
          <w:sz w:val="22"/>
          <w:szCs w:val="22"/>
        </w:rPr>
      </w:pP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Die bereits in verschiedenen Grautönen am Markt sehr gut platzierte G-T</w:t>
      </w:r>
      <w:r w:rsidR="00F5118F">
        <w:rPr>
          <w:rFonts w:asciiTheme="minorHAnsi" w:hAnsiTheme="minorHAnsi" w:cstheme="minorHAnsi"/>
          <w:sz w:val="22"/>
          <w:szCs w:val="22"/>
        </w:rPr>
        <w:t>EC</w:t>
      </w:r>
      <w:r w:rsidRPr="007B45F0">
        <w:rPr>
          <w:rFonts w:asciiTheme="minorHAnsi" w:hAnsiTheme="minorHAnsi" w:cstheme="minorHAnsi"/>
          <w:sz w:val="22"/>
          <w:szCs w:val="22"/>
        </w:rPr>
        <w:t xml:space="preserve"> Oberfläche, wurde um Weißlack </w:t>
      </w:r>
      <w:r w:rsidR="00F5118F">
        <w:rPr>
          <w:rFonts w:asciiTheme="minorHAnsi" w:hAnsiTheme="minorHAnsi" w:cstheme="minorHAnsi"/>
          <w:sz w:val="22"/>
          <w:szCs w:val="22"/>
        </w:rPr>
        <w:t>M</w:t>
      </w:r>
      <w:r w:rsidRPr="007B45F0">
        <w:rPr>
          <w:rFonts w:asciiTheme="minorHAnsi" w:hAnsiTheme="minorHAnsi" w:cstheme="minorHAnsi"/>
          <w:sz w:val="22"/>
          <w:szCs w:val="22"/>
        </w:rPr>
        <w:t>att 9016 erweitert. "Auf die Anforderungen des Marktes wurde schnell reagiert", bemerkte Ralf Niebur, Vertriebsleiter von GARANT.  "Mit Türen und Zargen in dieser Oberfläche vervollständigen wir ein weiteres Stück unserer Angebotsvielfalt. Es ist  wichtig, die Forderungen des Marktes aufzunehmen und nicht an ihm vorbei zu produzieren. Was nutzt eine immer größere Auswahl an Oberflächen, wenn am Ende Weiß in allen Varianten der Renner ist. Die Vorteile liegen klar auf der H</w:t>
      </w:r>
      <w:r w:rsidRPr="007B45F0">
        <w:rPr>
          <w:rFonts w:asciiTheme="minorHAnsi" w:hAnsiTheme="minorHAnsi" w:cstheme="minorHAnsi"/>
          <w:vanish/>
          <w:sz w:val="22"/>
          <w:szCs w:val="22"/>
        </w:rPr>
        <w:t>HHhhhhh</w:t>
      </w:r>
      <w:r w:rsidRPr="007B45F0">
        <w:rPr>
          <w:rFonts w:asciiTheme="minorHAnsi" w:hAnsiTheme="minorHAnsi" w:cstheme="minorHAnsi"/>
          <w:sz w:val="22"/>
          <w:szCs w:val="22"/>
        </w:rPr>
        <w:t>and: Premiumkante, Weißlack  und G-T</w:t>
      </w:r>
      <w:r w:rsidR="00F5118F">
        <w:rPr>
          <w:rFonts w:asciiTheme="minorHAnsi" w:hAnsiTheme="minorHAnsi" w:cstheme="minorHAnsi"/>
          <w:sz w:val="22"/>
          <w:szCs w:val="22"/>
        </w:rPr>
        <w:t>EC</w:t>
      </w:r>
      <w:r w:rsidRPr="007B45F0">
        <w:rPr>
          <w:rFonts w:asciiTheme="minorHAnsi" w:hAnsiTheme="minorHAnsi" w:cstheme="minorHAnsi"/>
          <w:sz w:val="22"/>
          <w:szCs w:val="22"/>
        </w:rPr>
        <w:t xml:space="preserve"> sind für uns die Produkte des Jahres 2021." Gut zu wissen, dass ein Großteil davon ab Lager erhältlich sein wird.  </w:t>
      </w:r>
    </w:p>
    <w:p w:rsidR="007B45F0" w:rsidRPr="007B45F0" w:rsidRDefault="007B45F0" w:rsidP="007B45F0">
      <w:pPr>
        <w:spacing w:line="276" w:lineRule="auto"/>
        <w:jc w:val="both"/>
        <w:rPr>
          <w:rFonts w:asciiTheme="minorHAnsi" w:hAnsiTheme="minorHAnsi" w:cstheme="minorHAnsi"/>
          <w:sz w:val="22"/>
          <w:szCs w:val="22"/>
        </w:rPr>
      </w:pP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Neben Premiumkante und G-T</w:t>
      </w:r>
      <w:r w:rsidR="00F5118F">
        <w:rPr>
          <w:rFonts w:asciiTheme="minorHAnsi" w:hAnsiTheme="minorHAnsi" w:cstheme="minorHAnsi"/>
          <w:sz w:val="22"/>
          <w:szCs w:val="22"/>
        </w:rPr>
        <w:t>EC</w:t>
      </w:r>
      <w:r w:rsidRPr="007B45F0">
        <w:rPr>
          <w:rFonts w:asciiTheme="minorHAnsi" w:hAnsiTheme="minorHAnsi" w:cstheme="minorHAnsi"/>
          <w:sz w:val="22"/>
          <w:szCs w:val="22"/>
        </w:rPr>
        <w:t xml:space="preserve"> gibt es weitere nennenswerte innovative Produkte bei GARANT. "Black </w:t>
      </w:r>
      <w:proofErr w:type="spellStart"/>
      <w:r w:rsidRPr="007B45F0">
        <w:rPr>
          <w:rFonts w:asciiTheme="minorHAnsi" w:hAnsiTheme="minorHAnsi" w:cstheme="minorHAnsi"/>
          <w:sz w:val="22"/>
          <w:szCs w:val="22"/>
        </w:rPr>
        <w:t>and</w:t>
      </w:r>
      <w:proofErr w:type="spellEnd"/>
      <w:r w:rsidRPr="007B45F0">
        <w:rPr>
          <w:rFonts w:asciiTheme="minorHAnsi" w:hAnsiTheme="minorHAnsi" w:cstheme="minorHAnsi"/>
          <w:sz w:val="22"/>
          <w:szCs w:val="22"/>
        </w:rPr>
        <w:t xml:space="preserve"> White" könnte man die Ausführung nennen, bei der weiße Türen mit schwarzen </w:t>
      </w:r>
      <w:r w:rsidR="00F5118F">
        <w:rPr>
          <w:rFonts w:asciiTheme="minorHAnsi" w:hAnsiTheme="minorHAnsi" w:cstheme="minorHAnsi"/>
          <w:sz w:val="22"/>
          <w:szCs w:val="22"/>
        </w:rPr>
        <w:t xml:space="preserve">Accessoires ausgestattet sind: </w:t>
      </w:r>
      <w:r w:rsidRPr="007B45F0">
        <w:rPr>
          <w:rFonts w:asciiTheme="minorHAnsi" w:hAnsiTheme="minorHAnsi" w:cstheme="minorHAnsi"/>
          <w:sz w:val="22"/>
          <w:szCs w:val="22"/>
        </w:rPr>
        <w:t xml:space="preserve">schwarze Inlays für den Schiebetürbeschlag LINE und den Beschlag QUADRAL. Nahezu </w:t>
      </w:r>
      <w:r w:rsidRPr="007B45F0">
        <w:rPr>
          <w:rFonts w:asciiTheme="minorHAnsi" w:hAnsiTheme="minorHAnsi" w:cstheme="minorHAnsi"/>
          <w:sz w:val="22"/>
          <w:szCs w:val="22"/>
        </w:rPr>
        <w:lastRenderedPageBreak/>
        <w:t xml:space="preserve">avantgardistisch wirken in dieser Serie schwarze Lisenen, für ein modernes und stilvolles Wohnen. </w:t>
      </w:r>
      <w:r w:rsidR="00FD692F">
        <w:rPr>
          <w:rFonts w:asciiTheme="minorHAnsi" w:hAnsiTheme="minorHAnsi" w:cstheme="minorHAnsi"/>
          <w:sz w:val="22"/>
          <w:szCs w:val="22"/>
        </w:rPr>
        <w:t xml:space="preserve">Mit den neuen Gläsern </w:t>
      </w:r>
      <w:proofErr w:type="spellStart"/>
      <w:r w:rsidR="00FD692F">
        <w:rPr>
          <w:rFonts w:asciiTheme="minorHAnsi" w:hAnsiTheme="minorHAnsi" w:cstheme="minorHAnsi"/>
          <w:sz w:val="22"/>
          <w:szCs w:val="22"/>
        </w:rPr>
        <w:t>St</w:t>
      </w:r>
      <w:r w:rsidR="00ED5DEA">
        <w:rPr>
          <w:rFonts w:asciiTheme="minorHAnsi" w:hAnsiTheme="minorHAnsi" w:cstheme="minorHAnsi"/>
          <w:sz w:val="22"/>
          <w:szCs w:val="22"/>
        </w:rPr>
        <w:t>r</w:t>
      </w:r>
      <w:r w:rsidR="00FD692F">
        <w:rPr>
          <w:rFonts w:asciiTheme="minorHAnsi" w:hAnsiTheme="minorHAnsi" w:cstheme="minorHAnsi"/>
          <w:sz w:val="22"/>
          <w:szCs w:val="22"/>
        </w:rPr>
        <w:t>ipe</w:t>
      </w:r>
      <w:r w:rsidR="00ED5DEA">
        <w:rPr>
          <w:rFonts w:asciiTheme="minorHAnsi" w:hAnsiTheme="minorHAnsi" w:cstheme="minorHAnsi"/>
          <w:sz w:val="22"/>
          <w:szCs w:val="22"/>
        </w:rPr>
        <w:t>s</w:t>
      </w:r>
      <w:proofErr w:type="spellEnd"/>
      <w:r w:rsidR="00FD692F">
        <w:rPr>
          <w:rFonts w:asciiTheme="minorHAnsi" w:hAnsiTheme="minorHAnsi" w:cstheme="minorHAnsi"/>
          <w:sz w:val="22"/>
          <w:szCs w:val="22"/>
        </w:rPr>
        <w:t xml:space="preserve"> und </w:t>
      </w:r>
      <w:proofErr w:type="spellStart"/>
      <w:r w:rsidR="00FD692F">
        <w:rPr>
          <w:rFonts w:asciiTheme="minorHAnsi" w:hAnsiTheme="minorHAnsi" w:cstheme="minorHAnsi"/>
          <w:sz w:val="22"/>
          <w:szCs w:val="22"/>
        </w:rPr>
        <w:t>Strato</w:t>
      </w:r>
      <w:proofErr w:type="spellEnd"/>
      <w:r w:rsidR="00FD692F">
        <w:rPr>
          <w:rFonts w:asciiTheme="minorHAnsi" w:hAnsiTheme="minorHAnsi" w:cstheme="minorHAnsi"/>
          <w:sz w:val="22"/>
          <w:szCs w:val="22"/>
        </w:rPr>
        <w:t xml:space="preserve"> werden strahlende Akzente gesetzt.</w:t>
      </w:r>
    </w:p>
    <w:p w:rsidR="007B45F0" w:rsidRPr="007B45F0" w:rsidRDefault="007B45F0" w:rsidP="007B45F0">
      <w:pPr>
        <w:spacing w:line="276" w:lineRule="auto"/>
        <w:jc w:val="both"/>
        <w:rPr>
          <w:rFonts w:asciiTheme="minorHAnsi" w:hAnsiTheme="minorHAnsi" w:cstheme="minorHAnsi"/>
          <w:sz w:val="22"/>
          <w:szCs w:val="22"/>
        </w:rPr>
      </w:pP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 xml:space="preserve">Die GARANT Türen und Zargen GmbH hat das Jahr 2020 genutzt, um Investitionen </w:t>
      </w: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umzusetzen und damit die Voraussetzungen geschaffen, um zukünftig ihre Kunden noch besser und schneller bedienen zu können. "Wir waren nicht untätig und haben die Krise als Chance gesehen, wieder ein Stück nach vorne zu kommen", so Ralf Niebur weiter. "</w:t>
      </w:r>
      <w:r w:rsidR="00CC4A82">
        <w:rPr>
          <w:rFonts w:asciiTheme="minorHAnsi" w:hAnsiTheme="minorHAnsi" w:cstheme="minorHAnsi"/>
          <w:sz w:val="22"/>
          <w:szCs w:val="22"/>
        </w:rPr>
        <w:t xml:space="preserve">Auch im vergangenem Jahr wurden wieder </w:t>
      </w:r>
      <w:r w:rsidRPr="007B45F0">
        <w:rPr>
          <w:rFonts w:asciiTheme="minorHAnsi" w:hAnsiTheme="minorHAnsi" w:cstheme="minorHAnsi"/>
          <w:sz w:val="22"/>
          <w:szCs w:val="22"/>
        </w:rPr>
        <w:t xml:space="preserve">  Investitionen in zweistelliger Millionenhöhe für Maschinen und Anlagen getätigt sowie weitere</w:t>
      </w:r>
      <w:r w:rsidR="00F5118F">
        <w:rPr>
          <w:rFonts w:asciiTheme="minorHAnsi" w:hAnsiTheme="minorHAnsi" w:cstheme="minorHAnsi"/>
          <w:sz w:val="22"/>
          <w:szCs w:val="22"/>
        </w:rPr>
        <w:t xml:space="preserve"> Mitarbeiterinnen und Mitarbeiter eingestellt</w:t>
      </w:r>
      <w:r w:rsidRPr="007B45F0">
        <w:rPr>
          <w:rFonts w:asciiTheme="minorHAnsi" w:hAnsiTheme="minorHAnsi" w:cstheme="minorHAnsi"/>
          <w:sz w:val="22"/>
          <w:szCs w:val="22"/>
        </w:rPr>
        <w:t>. Unser Schulungszentrum haben wir um 200 m² erweitert und ein echtes Kompetenzzentrum für praxisorientierte Workshops daraus gemacht. Schon heute freuen wir uns, wenn die ersten Mitarbeiterinnen und Mitarbeiter unserer Kunden diese moderne</w:t>
      </w:r>
      <w:r w:rsidR="001C4C58">
        <w:rPr>
          <w:rFonts w:asciiTheme="minorHAnsi" w:hAnsiTheme="minorHAnsi" w:cstheme="minorHAnsi"/>
          <w:sz w:val="22"/>
          <w:szCs w:val="22"/>
        </w:rPr>
        <w:t>n</w:t>
      </w:r>
      <w:r w:rsidRPr="007B45F0">
        <w:rPr>
          <w:rFonts w:asciiTheme="minorHAnsi" w:hAnsiTheme="minorHAnsi" w:cstheme="minorHAnsi"/>
          <w:sz w:val="22"/>
          <w:szCs w:val="22"/>
        </w:rPr>
        <w:t xml:space="preserve"> und fachlich auf den neuesten Stand ausgestatteten Seminarräume nutzen werden."</w:t>
      </w:r>
    </w:p>
    <w:p w:rsidR="007B45F0" w:rsidRPr="007B45F0" w:rsidRDefault="007B45F0" w:rsidP="007B45F0">
      <w:pPr>
        <w:spacing w:line="276" w:lineRule="auto"/>
        <w:jc w:val="both"/>
        <w:rPr>
          <w:rFonts w:asciiTheme="minorHAnsi" w:hAnsiTheme="minorHAnsi" w:cstheme="minorHAnsi"/>
          <w:sz w:val="22"/>
          <w:szCs w:val="22"/>
        </w:rPr>
      </w:pP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 xml:space="preserve">GARANT hat sich auch digital </w:t>
      </w:r>
      <w:r w:rsidR="001C4C58">
        <w:rPr>
          <w:rFonts w:asciiTheme="minorHAnsi" w:hAnsiTheme="minorHAnsi" w:cstheme="minorHAnsi"/>
          <w:sz w:val="22"/>
          <w:szCs w:val="22"/>
        </w:rPr>
        <w:t>kompetent</w:t>
      </w:r>
      <w:r w:rsidRPr="007B45F0">
        <w:rPr>
          <w:rFonts w:asciiTheme="minorHAnsi" w:hAnsiTheme="minorHAnsi" w:cstheme="minorHAnsi"/>
          <w:sz w:val="22"/>
          <w:szCs w:val="22"/>
        </w:rPr>
        <w:t xml:space="preserve"> neu ausgerichtet. "Das Thema ist </w:t>
      </w:r>
      <w:r w:rsidR="00CC4A82">
        <w:rPr>
          <w:rFonts w:asciiTheme="minorHAnsi" w:hAnsiTheme="minorHAnsi" w:cstheme="minorHAnsi"/>
          <w:sz w:val="22"/>
          <w:szCs w:val="22"/>
        </w:rPr>
        <w:t>zu</w:t>
      </w:r>
      <w:r w:rsidRPr="007B45F0">
        <w:rPr>
          <w:rFonts w:asciiTheme="minorHAnsi" w:hAnsiTheme="minorHAnsi" w:cstheme="minorHAnsi"/>
          <w:sz w:val="22"/>
          <w:szCs w:val="22"/>
        </w:rPr>
        <w:t xml:space="preserve"> mannigfaltig, </w:t>
      </w:r>
      <w:r w:rsidR="00CC4A82">
        <w:rPr>
          <w:rFonts w:asciiTheme="minorHAnsi" w:hAnsiTheme="minorHAnsi" w:cstheme="minorHAnsi"/>
          <w:sz w:val="22"/>
          <w:szCs w:val="22"/>
        </w:rPr>
        <w:t>um alles im Detail zu nennen</w:t>
      </w:r>
      <w:r w:rsidRPr="007B45F0">
        <w:rPr>
          <w:rFonts w:asciiTheme="minorHAnsi" w:hAnsiTheme="minorHAnsi" w:cstheme="minorHAnsi"/>
          <w:sz w:val="22"/>
          <w:szCs w:val="22"/>
        </w:rPr>
        <w:t xml:space="preserve">", erzählt Ralf Niebur mit einer Leidenschaft, die nicht zu verbergen ist. "Die Digitalisierung hat in den letzten Monaten immer mehr an Geschwindigkeit aufgenommen. Alle analogen und digitalen </w:t>
      </w:r>
      <w:r w:rsidR="00CC4A82">
        <w:rPr>
          <w:rFonts w:asciiTheme="minorHAnsi" w:hAnsiTheme="minorHAnsi" w:cstheme="minorHAnsi"/>
          <w:sz w:val="22"/>
          <w:szCs w:val="22"/>
        </w:rPr>
        <w:t>N</w:t>
      </w:r>
      <w:r w:rsidRPr="007B45F0">
        <w:rPr>
          <w:rFonts w:asciiTheme="minorHAnsi" w:hAnsiTheme="minorHAnsi" w:cstheme="minorHAnsi"/>
          <w:sz w:val="22"/>
          <w:szCs w:val="22"/>
        </w:rPr>
        <w:t xml:space="preserve">euheiten, die wir auf der BAU in München präsentiert hätten, können wir nun mit einem Videoclip vorstellen. Zusätzlich wurde ein spezieller Clip nur für die digitalen Themen produziert. Diese Videoclips bilden die </w:t>
      </w:r>
      <w:r w:rsidR="00CC4A82">
        <w:rPr>
          <w:rFonts w:asciiTheme="minorHAnsi" w:hAnsiTheme="minorHAnsi" w:cstheme="minorHAnsi"/>
          <w:sz w:val="22"/>
          <w:szCs w:val="22"/>
        </w:rPr>
        <w:t>optimale</w:t>
      </w:r>
      <w:r w:rsidRPr="007B45F0">
        <w:rPr>
          <w:rFonts w:asciiTheme="minorHAnsi" w:hAnsiTheme="minorHAnsi" w:cstheme="minorHAnsi"/>
          <w:sz w:val="22"/>
          <w:szCs w:val="22"/>
        </w:rPr>
        <w:t xml:space="preserve"> Ergänzung zu </w:t>
      </w:r>
      <w:r w:rsidR="001C4C58">
        <w:rPr>
          <w:rFonts w:asciiTheme="minorHAnsi" w:hAnsiTheme="minorHAnsi" w:cstheme="minorHAnsi"/>
          <w:sz w:val="22"/>
          <w:szCs w:val="22"/>
        </w:rPr>
        <w:t xml:space="preserve">unseren Schulungsvideos und den </w:t>
      </w:r>
      <w:r w:rsidRPr="007B45F0">
        <w:rPr>
          <w:rFonts w:asciiTheme="minorHAnsi" w:hAnsiTheme="minorHAnsi" w:cstheme="minorHAnsi"/>
          <w:sz w:val="22"/>
          <w:szCs w:val="22"/>
        </w:rPr>
        <w:t>Live-Webinare</w:t>
      </w:r>
      <w:r w:rsidR="001C4C58">
        <w:rPr>
          <w:rFonts w:asciiTheme="minorHAnsi" w:hAnsiTheme="minorHAnsi" w:cstheme="minorHAnsi"/>
          <w:sz w:val="22"/>
          <w:szCs w:val="22"/>
        </w:rPr>
        <w:t>n</w:t>
      </w:r>
      <w:r w:rsidRPr="007B45F0">
        <w:rPr>
          <w:rFonts w:asciiTheme="minorHAnsi" w:hAnsiTheme="minorHAnsi" w:cstheme="minorHAnsi"/>
          <w:sz w:val="22"/>
          <w:szCs w:val="22"/>
        </w:rPr>
        <w:t xml:space="preserve">. Weiterhin </w:t>
      </w:r>
      <w:r w:rsidR="00CC4A82">
        <w:rPr>
          <w:rFonts w:asciiTheme="minorHAnsi" w:hAnsiTheme="minorHAnsi" w:cstheme="minorHAnsi"/>
          <w:sz w:val="22"/>
          <w:szCs w:val="22"/>
        </w:rPr>
        <w:t xml:space="preserve">kommt die </w:t>
      </w:r>
      <w:r w:rsidRPr="007B45F0">
        <w:rPr>
          <w:rFonts w:asciiTheme="minorHAnsi" w:hAnsiTheme="minorHAnsi" w:cstheme="minorHAnsi"/>
          <w:sz w:val="22"/>
          <w:szCs w:val="22"/>
        </w:rPr>
        <w:t xml:space="preserve"> neue Händlersoftware "</w:t>
      </w:r>
      <w:proofErr w:type="spellStart"/>
      <w:r w:rsidRPr="007B45F0">
        <w:rPr>
          <w:rFonts w:asciiTheme="minorHAnsi" w:hAnsiTheme="minorHAnsi" w:cstheme="minorHAnsi"/>
          <w:sz w:val="22"/>
          <w:szCs w:val="22"/>
        </w:rPr>
        <w:t>doorit</w:t>
      </w:r>
      <w:proofErr w:type="spellEnd"/>
      <w:r w:rsidRPr="007B45F0">
        <w:rPr>
          <w:rFonts w:asciiTheme="minorHAnsi" w:hAnsiTheme="minorHAnsi" w:cstheme="minorHAnsi"/>
          <w:sz w:val="22"/>
          <w:szCs w:val="22"/>
        </w:rPr>
        <w:t xml:space="preserve">" in diesem Jahr auf den Markt, </w:t>
      </w:r>
      <w:r w:rsidR="00CC4A82">
        <w:rPr>
          <w:rFonts w:asciiTheme="minorHAnsi" w:hAnsiTheme="minorHAnsi" w:cstheme="minorHAnsi"/>
          <w:sz w:val="22"/>
          <w:szCs w:val="22"/>
        </w:rPr>
        <w:t>ebenso ein</w:t>
      </w:r>
      <w:r w:rsidRPr="007B45F0">
        <w:rPr>
          <w:rFonts w:asciiTheme="minorHAnsi" w:hAnsiTheme="minorHAnsi" w:cstheme="minorHAnsi"/>
          <w:sz w:val="22"/>
          <w:szCs w:val="22"/>
        </w:rPr>
        <w:t xml:space="preserve"> Schreiner-Website-Service sowie </w:t>
      </w:r>
      <w:r w:rsidR="001C4C58">
        <w:rPr>
          <w:rFonts w:asciiTheme="minorHAnsi" w:hAnsiTheme="minorHAnsi" w:cstheme="minorHAnsi"/>
          <w:sz w:val="22"/>
          <w:szCs w:val="22"/>
        </w:rPr>
        <w:t xml:space="preserve">die </w:t>
      </w:r>
      <w:r w:rsidRPr="007B45F0">
        <w:rPr>
          <w:rFonts w:asciiTheme="minorHAnsi" w:hAnsiTheme="minorHAnsi" w:cstheme="minorHAnsi"/>
          <w:sz w:val="22"/>
          <w:szCs w:val="22"/>
        </w:rPr>
        <w:t xml:space="preserve"> digitale Ausstellungsergänzung "Die Tür", bei der wir analoge Ausstellungselemente mit aktuell über 50.000 Konfigurationsmöglichkeiten </w:t>
      </w:r>
      <w:r w:rsidR="00CC4A82">
        <w:rPr>
          <w:rFonts w:asciiTheme="minorHAnsi" w:hAnsiTheme="minorHAnsi" w:cstheme="minorHAnsi"/>
          <w:sz w:val="22"/>
          <w:szCs w:val="22"/>
        </w:rPr>
        <w:t xml:space="preserve">digital </w:t>
      </w:r>
      <w:r w:rsidRPr="007B45F0">
        <w:rPr>
          <w:rFonts w:asciiTheme="minorHAnsi" w:hAnsiTheme="minorHAnsi" w:cstheme="minorHAnsi"/>
          <w:sz w:val="22"/>
          <w:szCs w:val="22"/>
        </w:rPr>
        <w:t xml:space="preserve">ergänzen können, um nur einige unserer digitalen Angebote zu </w:t>
      </w:r>
      <w:r w:rsidR="00CC4A82">
        <w:rPr>
          <w:rFonts w:asciiTheme="minorHAnsi" w:hAnsiTheme="minorHAnsi" w:cstheme="minorHAnsi"/>
          <w:sz w:val="22"/>
          <w:szCs w:val="22"/>
        </w:rPr>
        <w:t>erwähnen</w:t>
      </w:r>
      <w:r w:rsidRPr="007B45F0">
        <w:rPr>
          <w:rFonts w:asciiTheme="minorHAnsi" w:hAnsiTheme="minorHAnsi" w:cstheme="minorHAnsi"/>
          <w:sz w:val="22"/>
          <w:szCs w:val="22"/>
        </w:rPr>
        <w:t xml:space="preserve">."    </w:t>
      </w: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 xml:space="preserve"> </w:t>
      </w:r>
    </w:p>
    <w:p w:rsidR="007B45F0" w:rsidRPr="007B45F0" w:rsidRDefault="007B45F0" w:rsidP="007B45F0">
      <w:pPr>
        <w:spacing w:line="276" w:lineRule="auto"/>
        <w:jc w:val="both"/>
        <w:rPr>
          <w:rFonts w:asciiTheme="minorHAnsi" w:hAnsiTheme="minorHAnsi" w:cstheme="minorHAnsi"/>
          <w:sz w:val="22"/>
          <w:szCs w:val="22"/>
        </w:rPr>
      </w:pPr>
      <w:r w:rsidRPr="007B45F0">
        <w:rPr>
          <w:rFonts w:asciiTheme="minorHAnsi" w:hAnsiTheme="minorHAnsi" w:cstheme="minorHAnsi"/>
          <w:sz w:val="22"/>
          <w:szCs w:val="22"/>
        </w:rPr>
        <w:t>GARANT geht mit der Zeit und ist für die Zukunft bestens aufgestellt. Die gesamten Produktneuheiten finden Sie unter: www.garant.de</w:t>
      </w:r>
    </w:p>
    <w:p w:rsidR="00637F4B" w:rsidRDefault="00637F4B" w:rsidP="007B45F0">
      <w:pPr>
        <w:spacing w:line="276" w:lineRule="auto"/>
        <w:rPr>
          <w:rFonts w:asciiTheme="minorHAnsi" w:hAnsiTheme="minorHAnsi" w:cstheme="minorHAnsi"/>
          <w:sz w:val="22"/>
          <w:szCs w:val="22"/>
        </w:rPr>
      </w:pPr>
    </w:p>
    <w:p w:rsidR="007B45F0" w:rsidRDefault="007B45F0" w:rsidP="007B45F0">
      <w:pPr>
        <w:spacing w:line="276" w:lineRule="auto"/>
        <w:rPr>
          <w:rFonts w:asciiTheme="minorHAnsi" w:hAnsiTheme="minorHAnsi" w:cstheme="minorHAnsi"/>
          <w:sz w:val="22"/>
          <w:szCs w:val="22"/>
        </w:rPr>
      </w:pPr>
      <w:r>
        <w:rPr>
          <w:rFonts w:asciiTheme="minorHAnsi" w:hAnsiTheme="minorHAnsi" w:cstheme="minorHAnsi"/>
          <w:sz w:val="22"/>
          <w:szCs w:val="22"/>
        </w:rPr>
        <w:t>((4.</w:t>
      </w:r>
      <w:r w:rsidR="00D6447F">
        <w:rPr>
          <w:rFonts w:asciiTheme="minorHAnsi" w:hAnsiTheme="minorHAnsi" w:cstheme="minorHAnsi"/>
          <w:sz w:val="22"/>
          <w:szCs w:val="22"/>
        </w:rPr>
        <w:t>8</w:t>
      </w:r>
      <w:r w:rsidR="007D2CDE">
        <w:rPr>
          <w:rFonts w:asciiTheme="minorHAnsi" w:hAnsiTheme="minorHAnsi" w:cstheme="minorHAnsi"/>
          <w:sz w:val="22"/>
          <w:szCs w:val="22"/>
        </w:rPr>
        <w:t>01</w:t>
      </w:r>
      <w:r>
        <w:rPr>
          <w:rFonts w:asciiTheme="minorHAnsi" w:hAnsiTheme="minorHAnsi" w:cstheme="minorHAnsi"/>
          <w:sz w:val="22"/>
          <w:szCs w:val="22"/>
        </w:rPr>
        <w:t xml:space="preserve"> Zeichen, inkl. Headline, inkl. Leerzeichen))</w:t>
      </w:r>
    </w:p>
    <w:p w:rsidR="007B45F0" w:rsidRDefault="007B45F0" w:rsidP="007B45F0">
      <w:pPr>
        <w:spacing w:line="276" w:lineRule="auto"/>
        <w:rPr>
          <w:rFonts w:asciiTheme="minorHAnsi" w:hAnsiTheme="minorHAnsi" w:cstheme="minorHAnsi"/>
          <w:sz w:val="22"/>
          <w:szCs w:val="22"/>
        </w:rPr>
      </w:pPr>
    </w:p>
    <w:p w:rsidR="007B45F0" w:rsidRPr="007B45F0" w:rsidRDefault="007B45F0" w:rsidP="007B45F0">
      <w:pPr>
        <w:rPr>
          <w:rFonts w:asciiTheme="minorHAnsi" w:hAnsiTheme="minorHAnsi" w:cstheme="minorHAnsi"/>
          <w:b/>
          <w:sz w:val="22"/>
          <w:szCs w:val="22"/>
        </w:rPr>
      </w:pPr>
      <w:r w:rsidRPr="007B45F0">
        <w:rPr>
          <w:rFonts w:asciiTheme="minorHAnsi" w:hAnsiTheme="minorHAnsi" w:cstheme="minorHAnsi"/>
          <w:b/>
          <w:sz w:val="22"/>
          <w:szCs w:val="22"/>
        </w:rPr>
        <w:t>Pressebilder GARANT</w:t>
      </w:r>
    </w:p>
    <w:p w:rsidR="007B45F0" w:rsidRPr="007B45F0" w:rsidRDefault="007B45F0" w:rsidP="007B45F0">
      <w:pPr>
        <w:rPr>
          <w:rFonts w:asciiTheme="minorHAnsi" w:hAnsiTheme="minorHAnsi" w:cstheme="minorHAnsi"/>
          <w:b/>
          <w:sz w:val="22"/>
          <w:szCs w:val="22"/>
        </w:rPr>
      </w:pPr>
      <w:bookmarkStart w:id="0" w:name="_GoBack"/>
      <w:bookmarkEnd w:id="0"/>
    </w:p>
    <w:p w:rsidR="007B45F0" w:rsidRDefault="007B45F0" w:rsidP="007B45F0">
      <w:pPr>
        <w:rPr>
          <w:rFonts w:asciiTheme="minorHAnsi" w:hAnsiTheme="minorHAnsi" w:cstheme="minorHAnsi"/>
          <w:b/>
        </w:rPr>
      </w:pPr>
      <w:r w:rsidRPr="009322D9">
        <w:rPr>
          <w:rFonts w:asciiTheme="minorHAnsi" w:hAnsiTheme="minorHAnsi" w:cstheme="minorHAnsi"/>
          <w:b/>
          <w:noProof/>
        </w:rPr>
        <w:drawing>
          <wp:anchor distT="0" distB="0" distL="114300" distR="114300" simplePos="0" relativeHeight="251650048" behindDoc="0" locked="0" layoutInCell="1" allowOverlap="1" wp14:anchorId="37B3ECC3" wp14:editId="0C8EBD00">
            <wp:simplePos x="0" y="0"/>
            <wp:positionH relativeFrom="margin">
              <wp:posOffset>10160</wp:posOffset>
            </wp:positionH>
            <wp:positionV relativeFrom="paragraph">
              <wp:posOffset>13335</wp:posOffset>
            </wp:positionV>
            <wp:extent cx="1289050" cy="1365250"/>
            <wp:effectExtent l="0" t="0" r="6350" b="6350"/>
            <wp:wrapThrough wrapText="bothSides">
              <wp:wrapPolygon edited="0">
                <wp:start x="0" y="0"/>
                <wp:lineTo x="0" y="21399"/>
                <wp:lineTo x="21387" y="21399"/>
                <wp:lineTo x="21387" y="0"/>
                <wp:lineTo x="0" y="0"/>
              </wp:wrapPolygon>
            </wp:wrapThrough>
            <wp:docPr id="3" name="Grafik 3" descr="K:\GF\GFS1\DOC6\Bilddaten\GL\Ralf Nie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GF\GFS1\DOC6\Bilddaten\GL\Ralf Niebu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267" r="14410" b="30352"/>
                    <a:stretch/>
                  </pic:blipFill>
                  <pic:spPr bwMode="auto">
                    <a:xfrm>
                      <a:off x="0" y="0"/>
                      <a:ext cx="1289050"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5F0" w:rsidRDefault="007B45F0" w:rsidP="007B45F0">
      <w:pPr>
        <w:rPr>
          <w:rFonts w:asciiTheme="minorHAnsi" w:hAnsiTheme="minorHAnsi" w:cstheme="minorHAnsi"/>
        </w:rPr>
      </w:pPr>
      <w:r>
        <w:rPr>
          <w:rFonts w:asciiTheme="minorHAnsi" w:hAnsiTheme="minorHAnsi" w:cstheme="minorHAnsi"/>
        </w:rPr>
        <w:tab/>
      </w: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Pr="007B45F0" w:rsidRDefault="007B45F0" w:rsidP="007B45F0">
      <w:pPr>
        <w:rPr>
          <w:rFonts w:asciiTheme="minorHAnsi" w:hAnsiTheme="minorHAnsi" w:cstheme="minorHAnsi"/>
          <w:color w:val="FF0000"/>
        </w:rPr>
      </w:pPr>
    </w:p>
    <w:p w:rsidR="007B45F0" w:rsidRDefault="007B45F0" w:rsidP="007B45F0">
      <w:pPr>
        <w:rPr>
          <w:rFonts w:asciiTheme="minorHAnsi" w:hAnsiTheme="minorHAnsi" w:cstheme="minorHAnsi"/>
          <w:sz w:val="22"/>
          <w:szCs w:val="22"/>
        </w:rPr>
      </w:pPr>
    </w:p>
    <w:p w:rsidR="007B45F0" w:rsidRPr="007B45F0" w:rsidRDefault="007B45F0" w:rsidP="007B45F0">
      <w:pPr>
        <w:rPr>
          <w:rFonts w:asciiTheme="minorHAnsi" w:hAnsiTheme="minorHAnsi" w:cstheme="minorHAnsi"/>
          <w:sz w:val="22"/>
          <w:szCs w:val="22"/>
        </w:rPr>
      </w:pPr>
      <w:r w:rsidRPr="007B45F0">
        <w:rPr>
          <w:rFonts w:asciiTheme="minorHAnsi" w:hAnsiTheme="minorHAnsi" w:cstheme="minorHAnsi"/>
          <w:sz w:val="22"/>
          <w:szCs w:val="22"/>
        </w:rPr>
        <w:t>GARANT-Vertriebsleiter Ralf Niebur</w:t>
      </w: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r w:rsidRPr="009744A1">
        <w:rPr>
          <w:rFonts w:asciiTheme="minorHAnsi" w:hAnsiTheme="minorHAnsi" w:cstheme="minorHAnsi"/>
          <w:noProof/>
        </w:rPr>
        <w:drawing>
          <wp:anchor distT="0" distB="0" distL="114300" distR="114300" simplePos="0" relativeHeight="251666432" behindDoc="0" locked="0" layoutInCell="1" allowOverlap="1" wp14:anchorId="1D7F4526" wp14:editId="368C81AC">
            <wp:simplePos x="0" y="0"/>
            <wp:positionH relativeFrom="column">
              <wp:posOffset>2838450</wp:posOffset>
            </wp:positionH>
            <wp:positionV relativeFrom="paragraph">
              <wp:posOffset>104140</wp:posOffset>
            </wp:positionV>
            <wp:extent cx="690880" cy="1465580"/>
            <wp:effectExtent l="0" t="0" r="0" b="1270"/>
            <wp:wrapThrough wrapText="bothSides">
              <wp:wrapPolygon edited="0">
                <wp:start x="0" y="0"/>
                <wp:lineTo x="0" y="21338"/>
                <wp:lineTo x="20846" y="21338"/>
                <wp:lineTo x="20846" y="0"/>
                <wp:lineTo x="0" y="0"/>
              </wp:wrapPolygon>
            </wp:wrapThrough>
            <wp:docPr id="5" name="Grafik 5" descr="C:\Users\gfs1\AppData\Local\Microsoft\Windows\INetCache\Content.Outlook\AX0FSLQB\AURA_A830_SW_KR+KR_Weisslack_9016_D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s1\AppData\Local\Microsoft\Windows\INetCache\Content.Outlook\AX0FSLQB\AURA_A830_SW_KR+KR_Weisslack_9016_DR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88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189">
        <w:rPr>
          <w:rFonts w:asciiTheme="minorHAnsi" w:hAnsiTheme="minorHAnsi" w:cstheme="minorHAnsi"/>
          <w:b/>
          <w:noProof/>
        </w:rPr>
        <w:drawing>
          <wp:anchor distT="0" distB="0" distL="114300" distR="114300" simplePos="0" relativeHeight="251661312" behindDoc="0" locked="0" layoutInCell="1" allowOverlap="1" wp14:anchorId="4757662C" wp14:editId="7EF772C8">
            <wp:simplePos x="0" y="0"/>
            <wp:positionH relativeFrom="margin">
              <wp:posOffset>0</wp:posOffset>
            </wp:positionH>
            <wp:positionV relativeFrom="paragraph">
              <wp:posOffset>154940</wp:posOffset>
            </wp:positionV>
            <wp:extent cx="2092960" cy="1419860"/>
            <wp:effectExtent l="0" t="0" r="2540" b="8890"/>
            <wp:wrapThrough wrapText="bothSides">
              <wp:wrapPolygon edited="0">
                <wp:start x="0" y="0"/>
                <wp:lineTo x="0" y="21445"/>
                <wp:lineTo x="21430" y="21445"/>
                <wp:lineTo x="21430" y="0"/>
                <wp:lineTo x="0" y="0"/>
              </wp:wrapPolygon>
            </wp:wrapThrough>
            <wp:docPr id="6" name="Grafik 6" descr="K:\GF\GFS1\DOC6\PR\2021\Holz Zentralblatt\TKB-PK_Labor_ 2020-01-27-L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F\GFS1\DOC6\PR\2021\Holz Zentralblatt\TKB-PK_Labor_ 2020-01-27-LM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96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Pr="007B45F0" w:rsidRDefault="007B45F0" w:rsidP="007B45F0">
      <w:pPr>
        <w:rPr>
          <w:rFonts w:asciiTheme="minorHAnsi" w:hAnsiTheme="minorHAnsi" w:cstheme="minorHAnsi"/>
          <w:sz w:val="22"/>
          <w:szCs w:val="22"/>
        </w:rPr>
      </w:pPr>
      <w:r w:rsidRPr="007B45F0">
        <w:rPr>
          <w:rFonts w:asciiTheme="minorHAnsi" w:hAnsiTheme="minorHAnsi" w:cstheme="minorHAnsi"/>
          <w:sz w:val="22"/>
          <w:szCs w:val="22"/>
        </w:rPr>
        <w:t>G-</w:t>
      </w:r>
      <w:proofErr w:type="spellStart"/>
      <w:r w:rsidRPr="007B45F0">
        <w:rPr>
          <w:rFonts w:asciiTheme="minorHAnsi" w:hAnsiTheme="minorHAnsi" w:cstheme="minorHAnsi"/>
          <w:sz w:val="22"/>
          <w:szCs w:val="22"/>
        </w:rPr>
        <w:t>Tec</w:t>
      </w:r>
      <w:proofErr w:type="spellEnd"/>
      <w:r w:rsidRPr="007B45F0">
        <w:rPr>
          <w:rFonts w:asciiTheme="minorHAnsi" w:hAnsiTheme="minorHAnsi" w:cstheme="minorHAnsi"/>
          <w:sz w:val="22"/>
          <w:szCs w:val="22"/>
        </w:rPr>
        <w:t xml:space="preserve"> Türen mit der Premiumkante,                        </w:t>
      </w:r>
      <w:r>
        <w:rPr>
          <w:rFonts w:asciiTheme="minorHAnsi" w:hAnsiTheme="minorHAnsi" w:cstheme="minorHAnsi"/>
          <w:sz w:val="22"/>
          <w:szCs w:val="22"/>
        </w:rPr>
        <w:t xml:space="preserve"> </w:t>
      </w:r>
      <w:r w:rsidRPr="007B45F0">
        <w:rPr>
          <w:rFonts w:asciiTheme="minorHAnsi" w:hAnsiTheme="minorHAnsi" w:cstheme="minorHAnsi"/>
          <w:sz w:val="22"/>
          <w:szCs w:val="22"/>
        </w:rPr>
        <w:t xml:space="preserve">Black &amp; White– für stilvolles,     </w:t>
      </w:r>
    </w:p>
    <w:p w:rsidR="007B45F0" w:rsidRPr="007B45F0" w:rsidRDefault="007B45F0" w:rsidP="007B45F0">
      <w:pPr>
        <w:rPr>
          <w:rFonts w:asciiTheme="minorHAnsi" w:hAnsiTheme="minorHAnsi" w:cstheme="minorHAnsi"/>
          <w:sz w:val="22"/>
          <w:szCs w:val="22"/>
        </w:rPr>
      </w:pPr>
      <w:r w:rsidRPr="007B45F0">
        <w:rPr>
          <w:rFonts w:asciiTheme="minorHAnsi" w:hAnsiTheme="minorHAnsi" w:cstheme="minorHAnsi"/>
          <w:sz w:val="22"/>
          <w:szCs w:val="22"/>
        </w:rPr>
        <w:t xml:space="preserve">für jeden Einsatzbereich                                              modernes Wohnen                      </w:t>
      </w:r>
    </w:p>
    <w:p w:rsidR="007B45F0" w:rsidRPr="007B45F0" w:rsidRDefault="007B45F0" w:rsidP="007B45F0">
      <w:pPr>
        <w:rPr>
          <w:rFonts w:asciiTheme="minorHAnsi" w:hAnsiTheme="minorHAnsi" w:cstheme="minorHAnsi"/>
          <w:sz w:val="22"/>
          <w:szCs w:val="22"/>
        </w:rPr>
      </w:pPr>
      <w:r w:rsidRPr="007B45F0">
        <w:rPr>
          <w:rFonts w:asciiTheme="minorHAnsi" w:hAnsiTheme="minorHAnsi" w:cstheme="minorHAnsi"/>
          <w:sz w:val="22"/>
          <w:szCs w:val="22"/>
        </w:rPr>
        <w:tab/>
      </w:r>
      <w:r w:rsidRPr="007B45F0">
        <w:rPr>
          <w:rFonts w:asciiTheme="minorHAnsi" w:hAnsiTheme="minorHAnsi" w:cstheme="minorHAnsi"/>
          <w:sz w:val="22"/>
          <w:szCs w:val="22"/>
        </w:rPr>
        <w:tab/>
      </w:r>
      <w:r w:rsidRPr="007B45F0">
        <w:rPr>
          <w:rFonts w:asciiTheme="minorHAnsi" w:hAnsiTheme="minorHAnsi" w:cstheme="minorHAnsi"/>
          <w:sz w:val="22"/>
          <w:szCs w:val="22"/>
        </w:rPr>
        <w:tab/>
      </w:r>
      <w:r w:rsidRPr="007B45F0">
        <w:rPr>
          <w:rFonts w:asciiTheme="minorHAnsi" w:hAnsiTheme="minorHAnsi" w:cstheme="minorHAnsi"/>
          <w:sz w:val="22"/>
          <w:szCs w:val="22"/>
        </w:rPr>
        <w:tab/>
        <w:t xml:space="preserve">          </w:t>
      </w:r>
      <w:r w:rsidRPr="007B45F0">
        <w:rPr>
          <w:rFonts w:asciiTheme="minorHAnsi" w:hAnsiTheme="minorHAnsi" w:cstheme="minorHAnsi"/>
          <w:sz w:val="22"/>
          <w:szCs w:val="22"/>
        </w:rPr>
        <w:tab/>
      </w:r>
    </w:p>
    <w:p w:rsidR="007B45F0" w:rsidRPr="007B45F0" w:rsidRDefault="007B45F0" w:rsidP="007B45F0">
      <w:pPr>
        <w:rPr>
          <w:rFonts w:asciiTheme="minorHAnsi" w:hAnsiTheme="minorHAnsi" w:cstheme="minorHAnsi"/>
          <w:sz w:val="22"/>
          <w:szCs w:val="22"/>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r w:rsidRPr="00BD1523">
        <w:rPr>
          <w:rFonts w:asciiTheme="minorHAnsi" w:hAnsiTheme="minorHAnsi" w:cstheme="minorHAnsi"/>
          <w:noProof/>
        </w:rPr>
        <w:drawing>
          <wp:anchor distT="0" distB="0" distL="114300" distR="114300" simplePos="0" relativeHeight="251655168" behindDoc="0" locked="0" layoutInCell="1" allowOverlap="1" wp14:anchorId="5AF55967" wp14:editId="1173AB4C">
            <wp:simplePos x="0" y="0"/>
            <wp:positionH relativeFrom="margin">
              <wp:posOffset>0</wp:posOffset>
            </wp:positionH>
            <wp:positionV relativeFrom="paragraph">
              <wp:posOffset>227330</wp:posOffset>
            </wp:positionV>
            <wp:extent cx="5760720" cy="862330"/>
            <wp:effectExtent l="0" t="0" r="0" b="0"/>
            <wp:wrapThrough wrapText="bothSides">
              <wp:wrapPolygon edited="0">
                <wp:start x="0" y="0"/>
                <wp:lineTo x="0" y="20996"/>
                <wp:lineTo x="21500" y="20996"/>
                <wp:lineTo x="21500" y="0"/>
                <wp:lineTo x="0" y="0"/>
              </wp:wrapPolygon>
            </wp:wrapThrough>
            <wp:docPr id="4" name="Grafik 4" descr="K:\GF\GFS1\DOC6\PR\2021\Holz Zentralblatt\20190315_14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F\GFS1\DOC6\PR\2021\Holz Zentralblatt\20190315_144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5F0" w:rsidRDefault="007B45F0" w:rsidP="007B45F0">
      <w:pPr>
        <w:rPr>
          <w:rFonts w:asciiTheme="minorHAnsi" w:hAnsiTheme="minorHAnsi" w:cstheme="minorHAnsi"/>
        </w:rPr>
      </w:pPr>
    </w:p>
    <w:p w:rsidR="007B45F0" w:rsidRPr="007B45F0" w:rsidRDefault="007B45F0" w:rsidP="007B45F0">
      <w:pPr>
        <w:rPr>
          <w:rFonts w:asciiTheme="minorHAnsi" w:hAnsiTheme="minorHAnsi" w:cstheme="minorHAnsi"/>
        </w:rPr>
      </w:pPr>
      <w:r w:rsidRPr="007B45F0">
        <w:rPr>
          <w:rFonts w:asciiTheme="minorHAnsi" w:hAnsiTheme="minorHAnsi" w:cstheme="minorHAnsi"/>
          <w:sz w:val="22"/>
          <w:szCs w:val="22"/>
        </w:rPr>
        <w:t>Premiumkantenanlage –  Investition in zweistelliger Millionenhöhe</w:t>
      </w: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r>
        <w:rPr>
          <w:rFonts w:asciiTheme="minorHAnsi" w:hAnsiTheme="minorHAnsi" w:cstheme="minorHAnsi"/>
        </w:rPr>
        <w:t xml:space="preserve"> </w:t>
      </w: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p w:rsidR="007B45F0" w:rsidRDefault="007B45F0" w:rsidP="007B45F0">
      <w:pPr>
        <w:rPr>
          <w:rFonts w:asciiTheme="minorHAnsi" w:hAnsiTheme="minorHAnsi" w:cstheme="minorHAnsi"/>
        </w:rPr>
      </w:pPr>
    </w:p>
    <w:sectPr w:rsidR="007B45F0" w:rsidSect="007B45F0">
      <w:headerReference w:type="default" r:id="rId11"/>
      <w:pgSz w:w="11906" w:h="16838"/>
      <w:pgMar w:top="2268" w:right="3119" w:bottom="45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1D6" w:rsidRDefault="00FE71D6" w:rsidP="009E32F1">
      <w:r>
        <w:separator/>
      </w:r>
    </w:p>
  </w:endnote>
  <w:endnote w:type="continuationSeparator" w:id="0">
    <w:p w:rsidR="00FE71D6" w:rsidRDefault="00FE71D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1D6" w:rsidRDefault="00FE71D6" w:rsidP="009E32F1">
      <w:r>
        <w:separator/>
      </w:r>
    </w:p>
  </w:footnote>
  <w:footnote w:type="continuationSeparator" w:id="0">
    <w:p w:rsidR="00FE71D6" w:rsidRDefault="00FE71D6"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3E0" w:rsidRDefault="00E81F89" w:rsidP="00385436">
    <w:pPr>
      <w:pStyle w:val="Kopfzeile"/>
      <w:ind w:left="-1418"/>
      <w:rPr>
        <w:noProof/>
        <w:lang w:eastAsia="de-DE"/>
      </w:rPr>
    </w:pPr>
    <w:r>
      <w:rPr>
        <w:noProof/>
        <w:lang w:eastAsia="de-DE"/>
      </w:rPr>
      <w:drawing>
        <wp:anchor distT="0" distB="0" distL="114300" distR="114300" simplePos="0" relativeHeight="251658240" behindDoc="1" locked="0" layoutInCell="1" allowOverlap="1" wp14:anchorId="4DEF83E5" wp14:editId="78A3BD9B">
          <wp:simplePos x="0" y="0"/>
          <wp:positionH relativeFrom="column">
            <wp:posOffset>-900430</wp:posOffset>
          </wp:positionH>
          <wp:positionV relativeFrom="paragraph">
            <wp:posOffset>0</wp:posOffset>
          </wp:positionV>
          <wp:extent cx="7573962" cy="107100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962" cy="10710000"/>
                  </a:xfrm>
                  <a:prstGeom prst="rect">
                    <a:avLst/>
                  </a:prstGeom>
                </pic:spPr>
              </pic:pic>
            </a:graphicData>
          </a:graphic>
          <wp14:sizeRelH relativeFrom="page">
            <wp14:pctWidth>0</wp14:pctWidth>
          </wp14:sizeRelH>
          <wp14:sizeRelV relativeFrom="page">
            <wp14:pctHeight>0</wp14:pctHeight>
          </wp14:sizeRelV>
        </wp:anchor>
      </w:drawing>
    </w:r>
  </w:p>
  <w:p w:rsidR="00B33BA6" w:rsidRPr="00385436" w:rsidRDefault="00385436" w:rsidP="00385436">
    <w:pPr>
      <w:pStyle w:val="Kopfzeile"/>
      <w:ind w:left="-1418"/>
    </w:pPr>
    <w:r>
      <w:rPr>
        <w:noProof/>
        <w:lang w:eastAsia="de-DE"/>
      </w:rPr>
      <w:drawing>
        <wp:inline distT="0" distB="0" distL="0" distR="0" wp14:anchorId="3CADE635" wp14:editId="766565AE">
          <wp:extent cx="7562094" cy="1069657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M_Pressepapi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2" cy="106936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15479"/>
    <w:rsid w:val="00023888"/>
    <w:rsid w:val="00024908"/>
    <w:rsid w:val="0004001E"/>
    <w:rsid w:val="0006742A"/>
    <w:rsid w:val="00087189"/>
    <w:rsid w:val="00090B25"/>
    <w:rsid w:val="000918B3"/>
    <w:rsid w:val="000D0F66"/>
    <w:rsid w:val="00104957"/>
    <w:rsid w:val="00105248"/>
    <w:rsid w:val="0011041B"/>
    <w:rsid w:val="001C03E0"/>
    <w:rsid w:val="001C4C58"/>
    <w:rsid w:val="001C7529"/>
    <w:rsid w:val="001C7708"/>
    <w:rsid w:val="001E175B"/>
    <w:rsid w:val="002031CD"/>
    <w:rsid w:val="00213EC4"/>
    <w:rsid w:val="0021629E"/>
    <w:rsid w:val="002248FE"/>
    <w:rsid w:val="00231681"/>
    <w:rsid w:val="00266A08"/>
    <w:rsid w:val="0028426A"/>
    <w:rsid w:val="00292F30"/>
    <w:rsid w:val="002A2B2B"/>
    <w:rsid w:val="002B1280"/>
    <w:rsid w:val="002D229E"/>
    <w:rsid w:val="002E5B12"/>
    <w:rsid w:val="002E6A77"/>
    <w:rsid w:val="003044DE"/>
    <w:rsid w:val="00304B05"/>
    <w:rsid w:val="00311E59"/>
    <w:rsid w:val="00321689"/>
    <w:rsid w:val="00364573"/>
    <w:rsid w:val="003649C0"/>
    <w:rsid w:val="00371E17"/>
    <w:rsid w:val="00373921"/>
    <w:rsid w:val="00385436"/>
    <w:rsid w:val="003D3827"/>
    <w:rsid w:val="003E11B9"/>
    <w:rsid w:val="00420710"/>
    <w:rsid w:val="00420770"/>
    <w:rsid w:val="004261EA"/>
    <w:rsid w:val="004A7B2C"/>
    <w:rsid w:val="004D33A6"/>
    <w:rsid w:val="004D7BA9"/>
    <w:rsid w:val="004E25B3"/>
    <w:rsid w:val="00503464"/>
    <w:rsid w:val="005719B4"/>
    <w:rsid w:val="0057259C"/>
    <w:rsid w:val="00575F96"/>
    <w:rsid w:val="00577DAA"/>
    <w:rsid w:val="00584068"/>
    <w:rsid w:val="00590F29"/>
    <w:rsid w:val="005A2000"/>
    <w:rsid w:val="005B26E7"/>
    <w:rsid w:val="00601B38"/>
    <w:rsid w:val="00602CB9"/>
    <w:rsid w:val="0060589A"/>
    <w:rsid w:val="006214F8"/>
    <w:rsid w:val="0062520B"/>
    <w:rsid w:val="00634090"/>
    <w:rsid w:val="00635B72"/>
    <w:rsid w:val="00637F4B"/>
    <w:rsid w:val="006A6050"/>
    <w:rsid w:val="006D4B03"/>
    <w:rsid w:val="006E21F3"/>
    <w:rsid w:val="006E7694"/>
    <w:rsid w:val="00720347"/>
    <w:rsid w:val="0074177E"/>
    <w:rsid w:val="00767A31"/>
    <w:rsid w:val="00767EC9"/>
    <w:rsid w:val="00772C15"/>
    <w:rsid w:val="00782D35"/>
    <w:rsid w:val="007A12CD"/>
    <w:rsid w:val="007B45F0"/>
    <w:rsid w:val="007B4D52"/>
    <w:rsid w:val="007D2CDE"/>
    <w:rsid w:val="007D629B"/>
    <w:rsid w:val="007E2F3E"/>
    <w:rsid w:val="00813695"/>
    <w:rsid w:val="00830699"/>
    <w:rsid w:val="008313F0"/>
    <w:rsid w:val="00875932"/>
    <w:rsid w:val="008848D5"/>
    <w:rsid w:val="008D4092"/>
    <w:rsid w:val="009240B0"/>
    <w:rsid w:val="00937287"/>
    <w:rsid w:val="00952B32"/>
    <w:rsid w:val="00997D9D"/>
    <w:rsid w:val="009A3067"/>
    <w:rsid w:val="009C4C11"/>
    <w:rsid w:val="009E32F1"/>
    <w:rsid w:val="00A020B2"/>
    <w:rsid w:val="00A50FC4"/>
    <w:rsid w:val="00A52C7A"/>
    <w:rsid w:val="00A704F4"/>
    <w:rsid w:val="00AB0F02"/>
    <w:rsid w:val="00AB28DD"/>
    <w:rsid w:val="00AF644C"/>
    <w:rsid w:val="00B07D56"/>
    <w:rsid w:val="00B101F7"/>
    <w:rsid w:val="00B32F98"/>
    <w:rsid w:val="00B33BA6"/>
    <w:rsid w:val="00B656A0"/>
    <w:rsid w:val="00B70E71"/>
    <w:rsid w:val="00B81186"/>
    <w:rsid w:val="00B95002"/>
    <w:rsid w:val="00BC0A17"/>
    <w:rsid w:val="00BD34C7"/>
    <w:rsid w:val="00BF11AF"/>
    <w:rsid w:val="00BF2E52"/>
    <w:rsid w:val="00BF5FF1"/>
    <w:rsid w:val="00C11B54"/>
    <w:rsid w:val="00C43EC8"/>
    <w:rsid w:val="00C513F7"/>
    <w:rsid w:val="00C53076"/>
    <w:rsid w:val="00C57774"/>
    <w:rsid w:val="00C6787D"/>
    <w:rsid w:val="00C87110"/>
    <w:rsid w:val="00C95A4D"/>
    <w:rsid w:val="00CA39DF"/>
    <w:rsid w:val="00CB5D59"/>
    <w:rsid w:val="00CC096D"/>
    <w:rsid w:val="00CC4A82"/>
    <w:rsid w:val="00CE5C45"/>
    <w:rsid w:val="00D14CAC"/>
    <w:rsid w:val="00D610B1"/>
    <w:rsid w:val="00D6447F"/>
    <w:rsid w:val="00D75778"/>
    <w:rsid w:val="00DB32D2"/>
    <w:rsid w:val="00DE7767"/>
    <w:rsid w:val="00E00CDD"/>
    <w:rsid w:val="00E81F89"/>
    <w:rsid w:val="00E9488B"/>
    <w:rsid w:val="00EA446F"/>
    <w:rsid w:val="00EA4D98"/>
    <w:rsid w:val="00EC2D80"/>
    <w:rsid w:val="00EC5A29"/>
    <w:rsid w:val="00ED5DEA"/>
    <w:rsid w:val="00EF7B0A"/>
    <w:rsid w:val="00F11677"/>
    <w:rsid w:val="00F14762"/>
    <w:rsid w:val="00F36D0C"/>
    <w:rsid w:val="00F46979"/>
    <w:rsid w:val="00F5118F"/>
    <w:rsid w:val="00F64BCE"/>
    <w:rsid w:val="00F65F90"/>
    <w:rsid w:val="00F911C0"/>
    <w:rsid w:val="00F94438"/>
    <w:rsid w:val="00FA4E02"/>
    <w:rsid w:val="00FB0DA4"/>
    <w:rsid w:val="00FC7AE9"/>
    <w:rsid w:val="00FD692F"/>
    <w:rsid w:val="00FD6AE3"/>
    <w:rsid w:val="00FD6EE5"/>
    <w:rsid w:val="00FE71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CCCFA7E"/>
  <w15:docId w15:val="{BBDB179B-45B3-4C20-9E4A-B21DF936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F7D4-0FC7-4485-8260-DDDB7C0A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4541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NSC</dc:creator>
  <cp:lastModifiedBy>Föllmer, Martina</cp:lastModifiedBy>
  <cp:revision>4</cp:revision>
  <cp:lastPrinted>2021-03-26T11:11:00Z</cp:lastPrinted>
  <dcterms:created xsi:type="dcterms:W3CDTF">2021-03-26T11:35:00Z</dcterms:created>
  <dcterms:modified xsi:type="dcterms:W3CDTF">2021-04-09T11:18:00Z</dcterms:modified>
</cp:coreProperties>
</file>